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57" w:rsidRDefault="00CE3C57" w:rsidP="00CE3C57">
      <w:pPr>
        <w:tabs>
          <w:tab w:val="left" w:pos="1680"/>
        </w:tabs>
        <w:rPr>
          <w:rFonts w:ascii="Arial" w:hAnsi="Arial" w:cs="Arial"/>
          <w:sz w:val="20"/>
          <w:szCs w:val="20"/>
        </w:rPr>
      </w:pPr>
    </w:p>
    <w:p w:rsidR="00CE3C57" w:rsidRDefault="00CE3C57" w:rsidP="00CE3C57">
      <w:pPr>
        <w:tabs>
          <w:tab w:val="left" w:pos="1680"/>
        </w:tabs>
        <w:rPr>
          <w:rFonts w:ascii="Arial" w:eastAsia="Times New Roman" w:hAnsi="Arial" w:cs="Arial"/>
          <w:bCs/>
          <w:color w:val="000000"/>
          <w:sz w:val="20"/>
          <w:szCs w:val="20"/>
          <w:lang w:eastAsia="es-ES"/>
        </w:rPr>
      </w:pPr>
      <w:r>
        <w:rPr>
          <w:rFonts w:ascii="Arial" w:hAnsi="Arial" w:cs="Arial"/>
          <w:sz w:val="20"/>
          <w:szCs w:val="20"/>
        </w:rPr>
        <w:t xml:space="preserve">      “</w:t>
      </w:r>
      <w:r>
        <w:rPr>
          <w:rFonts w:ascii="Arial" w:eastAsia="Times New Roman" w:hAnsi="Arial" w:cs="Arial"/>
          <w:b/>
          <w:bCs/>
          <w:color w:val="333399"/>
          <w:sz w:val="20"/>
          <w:szCs w:val="20"/>
          <w:lang w:eastAsia="es-ES"/>
        </w:rPr>
        <w:t>ORDENANZA FISCAL DEL PRECIO PÚBLICO POR LA PRESTACIÓN DEL SERVICIO DE TRANSPORTE ESCOLAR</w:t>
      </w:r>
      <w:r w:rsidR="00B03794">
        <w:rPr>
          <w:rFonts w:ascii="Arial" w:eastAsia="Times New Roman" w:hAnsi="Arial" w:cs="Arial"/>
          <w:b/>
          <w:bCs/>
          <w:color w:val="333399"/>
          <w:sz w:val="20"/>
          <w:szCs w:val="20"/>
          <w:lang w:eastAsia="es-ES"/>
        </w:rPr>
        <w:t>”</w:t>
      </w:r>
    </w:p>
    <w:p w:rsidR="00CE3C57" w:rsidRDefault="00CE3C57" w:rsidP="00CE3C57">
      <w:pPr>
        <w:pBdr>
          <w:top w:val="single" w:sz="8" w:space="2" w:color="333399"/>
          <w:left w:val="single" w:sz="8" w:space="0" w:color="333399"/>
          <w:bottom w:val="single" w:sz="8" w:space="0" w:color="333399"/>
          <w:right w:val="single" w:sz="8" w:space="1" w:color="333399"/>
        </w:pBdr>
        <w:shd w:val="clear" w:color="auto" w:fill="FFCC99"/>
        <w:spacing w:before="100" w:beforeAutospacing="1" w:line="360" w:lineRule="auto"/>
        <w:ind w:firstLine="709"/>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t>ARTÍCULO 1. Fundamento y Objeto</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Esta Entidad Local, en uso de las facultades contenidas en los artículos 133.2 y 142 de la Constitución, por el artículo 106 de la Ley 7/1985, de 2 de abril, Reguladora de las Bases del Régimen Local, y de conformidad con los artículos 41 a 47 y 127 del Texto Refundido de la Ley Reguladora de las Haciendas Locales aprobado por el Real Decreto Legislativo 2/2004, de 5 de marzo, establece el precio público por prestación del servicio de Transporte Escolar, especificadas en las tarifas contenidas en la presente ordenanza.</w:t>
      </w:r>
    </w:p>
    <w:p w:rsidR="00CE3C57" w:rsidRDefault="00CE3C57" w:rsidP="00CE3C57">
      <w:pPr>
        <w:pBdr>
          <w:top w:val="single" w:sz="8" w:space="2" w:color="333399"/>
          <w:left w:val="single" w:sz="8" w:space="0" w:color="333399"/>
          <w:bottom w:val="single" w:sz="8" w:space="0" w:color="333399"/>
          <w:right w:val="single" w:sz="8" w:space="1" w:color="333399"/>
        </w:pBdr>
        <w:shd w:val="clear" w:color="auto" w:fill="FFCC99"/>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t>ARTÍCULO 2. Hecho Imponible</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El hecho imponible está constituido por la prestación del servicio de Transporte Escolar desde las paradas designadas en la población a este fin, </w:t>
      </w:r>
      <w:proofErr w:type="gramStart"/>
      <w:r>
        <w:rPr>
          <w:rFonts w:ascii="Arial" w:eastAsia="Times New Roman" w:hAnsi="Arial" w:cs="Arial"/>
          <w:color w:val="000000"/>
          <w:sz w:val="20"/>
          <w:szCs w:val="20"/>
          <w:lang w:eastAsia="es-ES"/>
        </w:rPr>
        <w:t>hasta  los</w:t>
      </w:r>
      <w:proofErr w:type="gramEnd"/>
      <w:r>
        <w:rPr>
          <w:rFonts w:ascii="Arial" w:eastAsia="Times New Roman" w:hAnsi="Arial" w:cs="Arial"/>
          <w:color w:val="000000"/>
          <w:sz w:val="20"/>
          <w:szCs w:val="20"/>
          <w:lang w:eastAsia="es-ES"/>
        </w:rPr>
        <w:t xml:space="preserve"> colegios públicos “Tres Torres” y Miguel de Cervantes”, así como  el viaje de regreso a las paradas de origen. </w:t>
      </w:r>
    </w:p>
    <w:p w:rsidR="00CE3C57" w:rsidRDefault="00CE3C57" w:rsidP="00CE3C57">
      <w:pPr>
        <w:pBdr>
          <w:top w:val="single" w:sz="8" w:space="2" w:color="333399"/>
          <w:left w:val="single" w:sz="8" w:space="0" w:color="333399"/>
          <w:bottom w:val="single" w:sz="8" w:space="0" w:color="333399"/>
          <w:right w:val="single" w:sz="8" w:space="1" w:color="333399"/>
        </w:pBdr>
        <w:shd w:val="clear" w:color="auto" w:fill="FFCC99"/>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t>ARTÍCULO 3. Obligados al Pago</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Están obligados al pago de los precios públicos regulados en la presente Ordenanza, los padres, tutores o quienes ostenten la patria potestad de quienes participen en la utilización del </w:t>
      </w:r>
      <w:proofErr w:type="gramStart"/>
      <w:r>
        <w:rPr>
          <w:rFonts w:ascii="Arial" w:eastAsia="Times New Roman" w:hAnsi="Arial" w:cs="Arial"/>
          <w:color w:val="000000"/>
          <w:sz w:val="20"/>
          <w:szCs w:val="20"/>
          <w:lang w:eastAsia="es-ES"/>
        </w:rPr>
        <w:t>servicio  de</w:t>
      </w:r>
      <w:proofErr w:type="gramEnd"/>
      <w:r>
        <w:rPr>
          <w:rFonts w:ascii="Arial" w:eastAsia="Times New Roman" w:hAnsi="Arial" w:cs="Arial"/>
          <w:color w:val="000000"/>
          <w:sz w:val="20"/>
          <w:szCs w:val="20"/>
          <w:lang w:eastAsia="es-ES"/>
        </w:rPr>
        <w:t xml:space="preserve"> Transporte Escolar, a cuyo nombre se realice la inscripción.</w:t>
      </w:r>
    </w:p>
    <w:p w:rsidR="00CE3C57" w:rsidRDefault="00CE3C57" w:rsidP="00CE3C57">
      <w:pPr>
        <w:pBdr>
          <w:top w:val="single" w:sz="8" w:space="2" w:color="333399"/>
          <w:left w:val="single" w:sz="8" w:space="0" w:color="333399"/>
          <w:bottom w:val="single" w:sz="8" w:space="0" w:color="333399"/>
          <w:right w:val="single" w:sz="8" w:space="1" w:color="333399"/>
        </w:pBdr>
        <w:shd w:val="clear" w:color="auto" w:fill="FFCC99"/>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t>ARTÍCULO 4. Responsables</w:t>
      </w: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Responderán de la deuda tributaria los deudores principales junto a otras personas o Entidades. A estos efectos se considerarán deudores principales los obligados tributarios del apartado 2 del artículo 35 de la Ley 58/2003, de 17 de diciembre, General Tributaria.</w:t>
      </w: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Salvo precepto legal expreso en contrario, la responsabilidad será siempre subsidiaria.</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Responderán solidariamente de las obligaciones tributarias del sujeto pasivo las personas físicas y jurídicas a que se refieren los artículos 42 de la Ley 58/2003 de 17 de diciembre, General Tributaria. Con relación a la responsabilidad solidaria y subsidiaria de la deuda tributaria, se estará a lo establecido en los artículos 42 y 43, respectivamente, de la Ley 58/2003, de 17 de diciembre, General Tributaria.</w:t>
      </w:r>
    </w:p>
    <w:p w:rsidR="00CE3C57" w:rsidRDefault="00CE3C57" w:rsidP="00CE3C57">
      <w:pPr>
        <w:pBdr>
          <w:top w:val="single" w:sz="8" w:space="2" w:color="333399"/>
          <w:left w:val="single" w:sz="8" w:space="0" w:color="333399"/>
          <w:bottom w:val="single" w:sz="8" w:space="0" w:color="333399"/>
          <w:right w:val="single" w:sz="8" w:space="1" w:color="333399"/>
        </w:pBdr>
        <w:shd w:val="clear" w:color="auto" w:fill="FFCC99"/>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t>ARTÍCULO 5. Cuantía</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La cuantía de los precios públicos establecidos en esta Ordenanza será la fijada en las tarifas contenidas en el apartado siguiente:</w:t>
      </w:r>
    </w:p>
    <w:tbl>
      <w:tblPr>
        <w:tblW w:w="8492" w:type="dxa"/>
        <w:tblCellSpacing w:w="0" w:type="dxa"/>
        <w:tblCellMar>
          <w:top w:w="105" w:type="dxa"/>
          <w:left w:w="105" w:type="dxa"/>
          <w:bottom w:w="105" w:type="dxa"/>
          <w:right w:w="105" w:type="dxa"/>
        </w:tblCellMar>
        <w:tblLook w:val="04A0" w:firstRow="1" w:lastRow="0" w:firstColumn="1" w:lastColumn="0" w:noHBand="0" w:noVBand="1"/>
      </w:tblPr>
      <w:tblGrid>
        <w:gridCol w:w="5090"/>
        <w:gridCol w:w="3402"/>
      </w:tblGrid>
      <w:tr w:rsidR="00CE3C57" w:rsidTr="00CE3C57">
        <w:trPr>
          <w:tblCellSpacing w:w="0" w:type="dxa"/>
        </w:trPr>
        <w:tc>
          <w:tcPr>
            <w:tcW w:w="5090" w:type="dxa"/>
            <w:tcBorders>
              <w:top w:val="single" w:sz="8" w:space="0" w:color="000000"/>
              <w:left w:val="single" w:sz="8" w:space="0" w:color="000000"/>
              <w:bottom w:val="single" w:sz="8" w:space="0" w:color="000000"/>
              <w:right w:val="nil"/>
            </w:tcBorders>
            <w:tcMar>
              <w:top w:w="0" w:type="dxa"/>
              <w:left w:w="108" w:type="dxa"/>
              <w:bottom w:w="0" w:type="dxa"/>
              <w:right w:w="0" w:type="dxa"/>
            </w:tcMar>
            <w:vAlign w:val="center"/>
            <w:hideMark/>
          </w:tcPr>
          <w:p w:rsidR="00CE3C57" w:rsidRDefault="00CE3C57" w:rsidP="00CE3C57">
            <w:pPr>
              <w:spacing w:before="100" w:beforeAutospacing="1" w:line="360" w:lineRule="auto"/>
              <w:ind w:firstLine="720"/>
              <w:jc w:val="both"/>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 xml:space="preserve">SERVICIO TRANSPORTE ESCOLAR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E3C57" w:rsidRDefault="00CE3C57" w:rsidP="00CE3C57">
            <w:pPr>
              <w:spacing w:before="100" w:beforeAutospacing="1" w:line="360" w:lineRule="auto"/>
              <w:ind w:firstLine="720"/>
              <w:jc w:val="both"/>
              <w:rPr>
                <w:rFonts w:ascii="Arial" w:eastAsia="Times New Roman" w:hAnsi="Arial" w:cs="Arial"/>
                <w:b/>
                <w:color w:val="000000"/>
                <w:sz w:val="20"/>
                <w:szCs w:val="20"/>
                <w:lang w:eastAsia="es-ES"/>
              </w:rPr>
            </w:pPr>
            <w:r>
              <w:rPr>
                <w:rFonts w:ascii="Arial" w:eastAsia="Times New Roman" w:hAnsi="Arial" w:cs="Arial"/>
                <w:b/>
                <w:bCs/>
                <w:color w:val="000000"/>
                <w:sz w:val="20"/>
                <w:szCs w:val="20"/>
                <w:lang w:eastAsia="es-ES"/>
              </w:rPr>
              <w:t>PRECIO PÚBLICO (por persona)</w:t>
            </w:r>
          </w:p>
        </w:tc>
      </w:tr>
      <w:tr w:rsidR="00CE3C57" w:rsidTr="00CE3C57">
        <w:trPr>
          <w:tblCellSpacing w:w="0" w:type="dxa"/>
        </w:trPr>
        <w:tc>
          <w:tcPr>
            <w:tcW w:w="509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E3C57" w:rsidRDefault="00CE3C57" w:rsidP="00CE3C57">
            <w:pPr>
              <w:spacing w:before="100" w:beforeAutospacing="1" w:line="360" w:lineRule="auto"/>
              <w:ind w:firstLine="72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COMPLETO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3C57" w:rsidRDefault="00CE3C57" w:rsidP="00CE3C57">
            <w:pPr>
              <w:spacing w:before="100" w:beforeAutospacing="1" w:line="360" w:lineRule="auto"/>
              <w:ind w:firstLine="72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25 €/MES </w:t>
            </w:r>
          </w:p>
        </w:tc>
      </w:tr>
      <w:tr w:rsidR="00CE3C57" w:rsidTr="00CE3C57">
        <w:trPr>
          <w:tblCellSpacing w:w="0" w:type="dxa"/>
        </w:trPr>
        <w:tc>
          <w:tcPr>
            <w:tcW w:w="509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E3C57" w:rsidRDefault="00CE3C57" w:rsidP="00CE3C57">
            <w:pPr>
              <w:spacing w:before="100" w:beforeAutospacing="1" w:line="360" w:lineRule="auto"/>
              <w:ind w:firstLine="72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PARCIAL</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3C57" w:rsidRDefault="00CE3C57" w:rsidP="00CE3C57">
            <w:pPr>
              <w:spacing w:before="100" w:beforeAutospacing="1" w:line="360" w:lineRule="auto"/>
              <w:ind w:firstLine="72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15 €/MES</w:t>
            </w:r>
          </w:p>
        </w:tc>
      </w:tr>
      <w:tr w:rsidR="00CE3C57" w:rsidTr="00CE3C57">
        <w:trPr>
          <w:tblCellSpacing w:w="0" w:type="dxa"/>
        </w:trPr>
        <w:tc>
          <w:tcPr>
            <w:tcW w:w="5090" w:type="dxa"/>
            <w:tcBorders>
              <w:top w:val="single" w:sz="8" w:space="0" w:color="000000"/>
              <w:left w:val="single" w:sz="8" w:space="0" w:color="000000"/>
              <w:bottom w:val="single" w:sz="8" w:space="0" w:color="000000"/>
              <w:right w:val="nil"/>
            </w:tcBorders>
            <w:tcMar>
              <w:top w:w="0" w:type="dxa"/>
              <w:left w:w="108" w:type="dxa"/>
              <w:bottom w:w="0" w:type="dxa"/>
              <w:right w:w="0" w:type="dxa"/>
            </w:tcMar>
            <w:hideMark/>
          </w:tcPr>
          <w:p w:rsidR="00CE3C57" w:rsidRDefault="00CE3C57" w:rsidP="00CE3C57">
            <w:pPr>
              <w:spacing w:before="100" w:beforeAutospacing="1" w:line="360" w:lineRule="auto"/>
              <w:ind w:firstLine="72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DIAS SUELTOS </w:t>
            </w:r>
          </w:p>
        </w:tc>
        <w:tc>
          <w:tcPr>
            <w:tcW w:w="34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E3C57" w:rsidRDefault="00CE3C57" w:rsidP="00CE3C57">
            <w:pPr>
              <w:spacing w:before="100" w:beforeAutospacing="1" w:line="360" w:lineRule="auto"/>
              <w:ind w:firstLine="72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1,5 €/DIA</w:t>
            </w:r>
          </w:p>
        </w:tc>
      </w:tr>
    </w:tbl>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Conceptos:</w:t>
      </w: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Servicio Completo: Servicio de ida y vuelta </w:t>
      </w: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Servicio Parcial: Servicio de ida o de vuelta </w:t>
      </w: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proofErr w:type="spellStart"/>
      <w:r>
        <w:rPr>
          <w:rFonts w:ascii="Arial" w:eastAsia="Times New Roman" w:hAnsi="Arial" w:cs="Arial"/>
          <w:color w:val="000000"/>
          <w:sz w:val="20"/>
          <w:szCs w:val="20"/>
          <w:lang w:eastAsia="es-ES"/>
        </w:rPr>
        <w:t>Dias</w:t>
      </w:r>
      <w:proofErr w:type="spellEnd"/>
      <w:r>
        <w:rPr>
          <w:rFonts w:ascii="Arial" w:eastAsia="Times New Roman" w:hAnsi="Arial" w:cs="Arial"/>
          <w:color w:val="000000"/>
          <w:sz w:val="20"/>
          <w:szCs w:val="20"/>
          <w:lang w:eastAsia="es-ES"/>
        </w:rPr>
        <w:t xml:space="preserve"> sueltos: Servicio de ida y vuelta días sueltos del mes </w:t>
      </w:r>
    </w:p>
    <w:p w:rsidR="00CE3C57" w:rsidRDefault="00CE3C57" w:rsidP="00CE3C57">
      <w:pPr>
        <w:keepNext/>
        <w:pBdr>
          <w:top w:val="single" w:sz="8" w:space="1" w:color="333399"/>
          <w:left w:val="single" w:sz="8" w:space="0" w:color="333399"/>
          <w:bottom w:val="single" w:sz="8" w:space="1" w:color="333399"/>
          <w:right w:val="single" w:sz="8" w:space="0" w:color="333399"/>
        </w:pBdr>
        <w:shd w:val="clear" w:color="auto" w:fill="FFCC99"/>
        <w:spacing w:before="100" w:beforeAutospacing="1" w:line="360" w:lineRule="auto"/>
        <w:ind w:firstLine="675"/>
        <w:jc w:val="both"/>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t xml:space="preserve">ARTÍCULO 6. Exenciones y Bonificaciones </w:t>
      </w:r>
    </w:p>
    <w:p w:rsidR="00CE3C57" w:rsidRDefault="00CE3C57" w:rsidP="00CE3C57">
      <w:pPr>
        <w:spacing w:before="100" w:beforeAutospacing="1" w:line="360" w:lineRule="auto"/>
        <w:ind w:firstLine="709"/>
        <w:jc w:val="both"/>
        <w:rPr>
          <w:rFonts w:ascii="Arial" w:eastAsia="Times New Roman" w:hAnsi="Arial" w:cs="Arial"/>
          <w:b/>
          <w:color w:val="000000"/>
          <w:sz w:val="20"/>
          <w:szCs w:val="20"/>
          <w:lang w:eastAsia="es-ES"/>
        </w:rPr>
      </w:pPr>
      <w:r>
        <w:rPr>
          <w:rFonts w:ascii="Arial" w:eastAsia="Times New Roman" w:hAnsi="Arial" w:cs="Arial"/>
          <w:color w:val="000000"/>
          <w:sz w:val="20"/>
          <w:szCs w:val="20"/>
          <w:lang w:eastAsia="es-ES"/>
        </w:rPr>
        <w:t xml:space="preserve">   </w:t>
      </w:r>
      <w:r>
        <w:rPr>
          <w:rFonts w:ascii="Arial" w:eastAsia="Times New Roman" w:hAnsi="Arial" w:cs="Arial"/>
          <w:b/>
          <w:color w:val="000000"/>
          <w:sz w:val="20"/>
          <w:szCs w:val="20"/>
          <w:lang w:eastAsia="es-ES"/>
        </w:rPr>
        <w:t>Bonificaciones:</w:t>
      </w: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Por Hermanos usuarios del servicio:</w:t>
      </w: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2º hermano……………</w:t>
      </w:r>
      <w:proofErr w:type="gramStart"/>
      <w:r>
        <w:rPr>
          <w:rFonts w:ascii="Arial" w:eastAsia="Times New Roman" w:hAnsi="Arial" w:cs="Arial"/>
          <w:color w:val="000000"/>
          <w:sz w:val="20"/>
          <w:szCs w:val="20"/>
          <w:lang w:eastAsia="es-ES"/>
        </w:rPr>
        <w:t>…….</w:t>
      </w:r>
      <w:proofErr w:type="gramEnd"/>
      <w:r>
        <w:rPr>
          <w:rFonts w:ascii="Arial" w:eastAsia="Times New Roman" w:hAnsi="Arial" w:cs="Arial"/>
          <w:color w:val="000000"/>
          <w:sz w:val="20"/>
          <w:szCs w:val="20"/>
          <w:lang w:eastAsia="es-ES"/>
        </w:rPr>
        <w:t>Bonificación del 25 %.</w:t>
      </w: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3º hermano……………</w:t>
      </w:r>
      <w:proofErr w:type="gramStart"/>
      <w:r>
        <w:rPr>
          <w:rFonts w:ascii="Arial" w:eastAsia="Times New Roman" w:hAnsi="Arial" w:cs="Arial"/>
          <w:color w:val="000000"/>
          <w:sz w:val="20"/>
          <w:szCs w:val="20"/>
          <w:lang w:eastAsia="es-ES"/>
        </w:rPr>
        <w:t>…….</w:t>
      </w:r>
      <w:proofErr w:type="gramEnd"/>
      <w:r>
        <w:rPr>
          <w:rFonts w:ascii="Arial" w:eastAsia="Times New Roman" w:hAnsi="Arial" w:cs="Arial"/>
          <w:color w:val="000000"/>
          <w:sz w:val="20"/>
          <w:szCs w:val="20"/>
          <w:lang w:eastAsia="es-ES"/>
        </w:rPr>
        <w:t>Bonificación del 35 %.</w:t>
      </w: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4º hermano y siguientes…. </w:t>
      </w:r>
      <w:proofErr w:type="gramStart"/>
      <w:r>
        <w:rPr>
          <w:rFonts w:ascii="Arial" w:eastAsia="Times New Roman" w:hAnsi="Arial" w:cs="Arial"/>
          <w:color w:val="000000"/>
          <w:sz w:val="20"/>
          <w:szCs w:val="20"/>
          <w:lang w:eastAsia="es-ES"/>
        </w:rPr>
        <w:t>Bonificación  del</w:t>
      </w:r>
      <w:proofErr w:type="gramEnd"/>
      <w:r>
        <w:rPr>
          <w:rFonts w:ascii="Arial" w:eastAsia="Times New Roman" w:hAnsi="Arial" w:cs="Arial"/>
          <w:color w:val="000000"/>
          <w:sz w:val="20"/>
          <w:szCs w:val="20"/>
          <w:lang w:eastAsia="es-ES"/>
        </w:rPr>
        <w:t xml:space="preserve"> 50%.</w:t>
      </w: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 xml:space="preserve"> Exenciones</w:t>
      </w:r>
      <w:r>
        <w:rPr>
          <w:rFonts w:ascii="Arial" w:eastAsia="Times New Roman" w:hAnsi="Arial" w:cs="Arial"/>
          <w:color w:val="000000"/>
          <w:sz w:val="20"/>
          <w:szCs w:val="20"/>
          <w:lang w:eastAsia="es-ES"/>
        </w:rPr>
        <w:t>:</w:t>
      </w: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Quedan exentos del pago de este precio público:</w:t>
      </w:r>
    </w:p>
    <w:p w:rsidR="00CE3C57" w:rsidRPr="00CE3C57" w:rsidRDefault="00CE3C57" w:rsidP="00CE3C57">
      <w:pPr>
        <w:pStyle w:val="Prrafodelista"/>
        <w:numPr>
          <w:ilvl w:val="0"/>
          <w:numId w:val="3"/>
        </w:numPr>
        <w:spacing w:before="100" w:beforeAutospacing="1" w:after="0"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usuarios del servicio cuyas unidades familiares se </w:t>
      </w:r>
      <w:proofErr w:type="gramStart"/>
      <w:r>
        <w:rPr>
          <w:rFonts w:ascii="Arial" w:eastAsia="Times New Roman" w:hAnsi="Arial" w:cs="Arial"/>
          <w:color w:val="000000"/>
          <w:sz w:val="20"/>
          <w:szCs w:val="20"/>
        </w:rPr>
        <w:t>encuentren  en</w:t>
      </w:r>
      <w:proofErr w:type="gramEnd"/>
      <w:r>
        <w:rPr>
          <w:rFonts w:ascii="Arial" w:eastAsia="Times New Roman" w:hAnsi="Arial" w:cs="Arial"/>
          <w:color w:val="000000"/>
          <w:sz w:val="20"/>
          <w:szCs w:val="20"/>
        </w:rPr>
        <w:t xml:space="preserve"> situación de emergencia social. La emergencia social deberá acreditarse a través de informe emitido por los servicios </w:t>
      </w:r>
      <w:proofErr w:type="gramStart"/>
      <w:r>
        <w:rPr>
          <w:rFonts w:ascii="Arial" w:eastAsia="Times New Roman" w:hAnsi="Arial" w:cs="Arial"/>
          <w:color w:val="000000"/>
          <w:sz w:val="20"/>
          <w:szCs w:val="20"/>
        </w:rPr>
        <w:t>sociales  del</w:t>
      </w:r>
      <w:proofErr w:type="gramEnd"/>
      <w:r>
        <w:rPr>
          <w:rFonts w:ascii="Arial" w:eastAsia="Times New Roman" w:hAnsi="Arial" w:cs="Arial"/>
          <w:color w:val="000000"/>
          <w:sz w:val="20"/>
          <w:szCs w:val="20"/>
        </w:rPr>
        <w:t xml:space="preserve"> Ayuntamiento de Ugena.</w:t>
      </w:r>
      <w:r>
        <w:rPr>
          <w:rFonts w:ascii="Arial" w:eastAsia="Times New Roman" w:hAnsi="Arial" w:cs="Arial"/>
          <w:iCs/>
          <w:color w:val="000000"/>
          <w:sz w:val="20"/>
          <w:szCs w:val="20"/>
        </w:rPr>
        <w:t xml:space="preserve"> </w:t>
      </w:r>
    </w:p>
    <w:p w:rsidR="00CE3C57" w:rsidRDefault="00CE3C57" w:rsidP="00CE3C57">
      <w:pPr>
        <w:spacing w:before="100" w:beforeAutospacing="1" w:after="0" w:line="360" w:lineRule="auto"/>
        <w:jc w:val="both"/>
        <w:rPr>
          <w:rFonts w:ascii="Arial" w:eastAsia="Times New Roman" w:hAnsi="Arial" w:cs="Arial"/>
          <w:color w:val="000000"/>
          <w:sz w:val="20"/>
          <w:szCs w:val="20"/>
        </w:rPr>
      </w:pPr>
    </w:p>
    <w:p w:rsidR="00CE3C57" w:rsidRDefault="00CE3C57" w:rsidP="00CE3C57">
      <w:pPr>
        <w:spacing w:before="100" w:beforeAutospacing="1" w:after="0" w:line="360" w:lineRule="auto"/>
        <w:jc w:val="both"/>
        <w:rPr>
          <w:rFonts w:ascii="Arial" w:eastAsia="Times New Roman" w:hAnsi="Arial" w:cs="Arial"/>
          <w:color w:val="000000"/>
          <w:sz w:val="20"/>
          <w:szCs w:val="20"/>
        </w:rPr>
      </w:pPr>
    </w:p>
    <w:p w:rsidR="00CE3C57" w:rsidRPr="00CE3C57" w:rsidRDefault="00CE3C57" w:rsidP="00CE3C57">
      <w:pPr>
        <w:spacing w:before="100" w:beforeAutospacing="1" w:after="0" w:line="360" w:lineRule="auto"/>
        <w:jc w:val="both"/>
        <w:rPr>
          <w:rFonts w:ascii="Arial" w:eastAsia="Times New Roman" w:hAnsi="Arial" w:cs="Arial"/>
          <w:color w:val="000000"/>
          <w:sz w:val="20"/>
          <w:szCs w:val="20"/>
        </w:rPr>
      </w:pPr>
    </w:p>
    <w:p w:rsidR="00CE3C57" w:rsidRDefault="00CE3C57" w:rsidP="00CE3C57">
      <w:pPr>
        <w:pBdr>
          <w:top w:val="single" w:sz="8" w:space="2" w:color="333399"/>
          <w:left w:val="single" w:sz="8" w:space="0" w:color="333399"/>
          <w:bottom w:val="single" w:sz="8" w:space="0" w:color="333399"/>
          <w:right w:val="single" w:sz="8" w:space="1" w:color="333399"/>
        </w:pBdr>
        <w:shd w:val="clear" w:color="auto" w:fill="FFCC99"/>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lastRenderedPageBreak/>
        <w:t>ARTÍCULO 7. Devengo</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El devengo de este precio público tendrá lugar cuando se efectúe la inscripción correspondiente, naciendo la obligación de pago cuando se confirme la ejecución del servicio o actividad. </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Para la utilización del servicio en los meses siguientes, se </w:t>
      </w:r>
      <w:proofErr w:type="gramStart"/>
      <w:r>
        <w:rPr>
          <w:rFonts w:ascii="Arial" w:eastAsia="Times New Roman" w:hAnsi="Arial" w:cs="Arial"/>
          <w:color w:val="000000"/>
          <w:sz w:val="20"/>
          <w:szCs w:val="20"/>
          <w:lang w:eastAsia="es-ES"/>
        </w:rPr>
        <w:t>devengara</w:t>
      </w:r>
      <w:proofErr w:type="gramEnd"/>
      <w:r>
        <w:rPr>
          <w:rFonts w:ascii="Arial" w:eastAsia="Times New Roman" w:hAnsi="Arial" w:cs="Arial"/>
          <w:color w:val="000000"/>
          <w:sz w:val="20"/>
          <w:szCs w:val="20"/>
          <w:lang w:eastAsia="es-ES"/>
        </w:rPr>
        <w:t xml:space="preserve"> el primer día del mes que se inicia la prestación del servicio.</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Cuando por causas no imputables al obligado el servicio no se preste, procederá la devolución del importe correspondiente, conforme a lo establecido en el artículo 26.3 del Texto Refundido de la Ley Reguladora de las Haciendas Locales, aprobado por el Real Decreto Legislativo 2/2004, de 5 de marzo.</w:t>
      </w:r>
    </w:p>
    <w:p w:rsidR="00CE3C57" w:rsidRDefault="00CE3C57" w:rsidP="00CE3C57">
      <w:pPr>
        <w:pBdr>
          <w:top w:val="single" w:sz="8" w:space="2" w:color="333399"/>
          <w:left w:val="single" w:sz="8" w:space="0" w:color="333399"/>
          <w:bottom w:val="single" w:sz="8" w:space="0" w:color="333399"/>
          <w:right w:val="single" w:sz="8" w:space="1" w:color="333399"/>
        </w:pBdr>
        <w:shd w:val="clear" w:color="auto" w:fill="FFCC99"/>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t>ARTÍCULO 8. Normas de Gestión</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 xml:space="preserve">    1.-   SOLICITUDES DEL SERVICIO DE TRANSPORTE ESCOLAR</w:t>
      </w:r>
      <w:r>
        <w:rPr>
          <w:rFonts w:ascii="Arial" w:eastAsia="Times New Roman" w:hAnsi="Arial" w:cs="Arial"/>
          <w:color w:val="000000"/>
          <w:sz w:val="20"/>
          <w:szCs w:val="20"/>
          <w:lang w:eastAsia="es-ES"/>
        </w:rPr>
        <w:t xml:space="preserve">: Se iniciara </w:t>
      </w:r>
      <w:proofErr w:type="gramStart"/>
      <w:r>
        <w:rPr>
          <w:rFonts w:ascii="Arial" w:eastAsia="Times New Roman" w:hAnsi="Arial" w:cs="Arial"/>
          <w:color w:val="000000"/>
          <w:sz w:val="20"/>
          <w:szCs w:val="20"/>
          <w:lang w:eastAsia="es-ES"/>
        </w:rPr>
        <w:t>el  plazo</w:t>
      </w:r>
      <w:proofErr w:type="gramEnd"/>
      <w:r>
        <w:rPr>
          <w:rFonts w:ascii="Arial" w:eastAsia="Times New Roman" w:hAnsi="Arial" w:cs="Arial"/>
          <w:color w:val="000000"/>
          <w:sz w:val="20"/>
          <w:szCs w:val="20"/>
          <w:lang w:eastAsia="es-ES"/>
        </w:rPr>
        <w:t xml:space="preserve"> de presentación de solicitudes desde el 16 de Agosto hasta el inicio del curso escolar. Se deberá presentar:</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1.</w:t>
      </w:r>
      <w:proofErr w:type="gramStart"/>
      <w:r>
        <w:rPr>
          <w:rFonts w:ascii="Arial" w:eastAsia="Times New Roman" w:hAnsi="Arial" w:cs="Arial"/>
          <w:color w:val="000000"/>
          <w:sz w:val="20"/>
          <w:szCs w:val="20"/>
          <w:lang w:eastAsia="es-ES"/>
        </w:rPr>
        <w:t>-  Solicitud</w:t>
      </w:r>
      <w:proofErr w:type="gramEnd"/>
      <w:r>
        <w:rPr>
          <w:rFonts w:ascii="Arial" w:eastAsia="Times New Roman" w:hAnsi="Arial" w:cs="Arial"/>
          <w:color w:val="000000"/>
          <w:sz w:val="20"/>
          <w:szCs w:val="20"/>
          <w:lang w:eastAsia="es-ES"/>
        </w:rPr>
        <w:t xml:space="preserve"> firmada por padres/tutores. Indicando la modalidad del servicio y en que parada accederá el niño/niña.</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2.-   </w:t>
      </w:r>
      <w:proofErr w:type="spellStart"/>
      <w:r>
        <w:rPr>
          <w:rFonts w:ascii="Arial" w:eastAsia="Times New Roman" w:hAnsi="Arial" w:cs="Arial"/>
          <w:color w:val="000000"/>
          <w:sz w:val="20"/>
          <w:szCs w:val="20"/>
          <w:lang w:eastAsia="es-ES"/>
        </w:rPr>
        <w:t>Numero</w:t>
      </w:r>
      <w:proofErr w:type="spellEnd"/>
      <w:r>
        <w:rPr>
          <w:rFonts w:ascii="Arial" w:eastAsia="Times New Roman" w:hAnsi="Arial" w:cs="Arial"/>
          <w:color w:val="000000"/>
          <w:sz w:val="20"/>
          <w:szCs w:val="20"/>
          <w:lang w:eastAsia="es-ES"/>
        </w:rPr>
        <w:t xml:space="preserve"> de cuenta corriente donde cargar el recibo</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3.</w:t>
      </w:r>
      <w:proofErr w:type="gramStart"/>
      <w:r>
        <w:rPr>
          <w:rFonts w:ascii="Arial" w:eastAsia="Times New Roman" w:hAnsi="Arial" w:cs="Arial"/>
          <w:color w:val="000000"/>
          <w:sz w:val="20"/>
          <w:szCs w:val="20"/>
          <w:lang w:eastAsia="es-ES"/>
        </w:rPr>
        <w:t>-  Fotografía</w:t>
      </w:r>
      <w:proofErr w:type="gramEnd"/>
      <w:r>
        <w:rPr>
          <w:rFonts w:ascii="Arial" w:eastAsia="Times New Roman" w:hAnsi="Arial" w:cs="Arial"/>
          <w:color w:val="000000"/>
          <w:sz w:val="20"/>
          <w:szCs w:val="20"/>
          <w:lang w:eastAsia="es-ES"/>
        </w:rPr>
        <w:t xml:space="preserve"> del niño/niña </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 xml:space="preserve">      2.</w:t>
      </w:r>
      <w:proofErr w:type="gramStart"/>
      <w:r>
        <w:rPr>
          <w:rFonts w:ascii="Arial" w:eastAsia="Times New Roman" w:hAnsi="Arial" w:cs="Arial"/>
          <w:b/>
          <w:color w:val="000000"/>
          <w:sz w:val="20"/>
          <w:szCs w:val="20"/>
          <w:lang w:eastAsia="es-ES"/>
        </w:rPr>
        <w:t>-  SOLICITUDES</w:t>
      </w:r>
      <w:proofErr w:type="gramEnd"/>
      <w:r>
        <w:rPr>
          <w:rFonts w:ascii="Arial" w:eastAsia="Times New Roman" w:hAnsi="Arial" w:cs="Arial"/>
          <w:b/>
          <w:color w:val="000000"/>
          <w:sz w:val="20"/>
          <w:szCs w:val="20"/>
          <w:lang w:eastAsia="es-ES"/>
        </w:rPr>
        <w:t xml:space="preserve"> DEL SERVICIO DE TRANSPORTE ESCOLAR POSTERIOR AL INICIO DEL CURSO</w:t>
      </w:r>
      <w:r>
        <w:rPr>
          <w:rFonts w:ascii="Arial" w:eastAsia="Times New Roman" w:hAnsi="Arial" w:cs="Arial"/>
          <w:color w:val="000000"/>
          <w:sz w:val="20"/>
          <w:szCs w:val="20"/>
          <w:lang w:eastAsia="es-ES"/>
        </w:rPr>
        <w:t>. En cualquier momento los padres podrán solicitar el uso del servicio, para ello deberán presentarse en el Ayuntamiento aportando la siguiente documentación:</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1.</w:t>
      </w:r>
      <w:proofErr w:type="gramStart"/>
      <w:r>
        <w:rPr>
          <w:rFonts w:ascii="Arial" w:eastAsia="Times New Roman" w:hAnsi="Arial" w:cs="Arial"/>
          <w:color w:val="000000"/>
          <w:sz w:val="20"/>
          <w:szCs w:val="20"/>
          <w:lang w:eastAsia="es-ES"/>
        </w:rPr>
        <w:t>-  Solicitud</w:t>
      </w:r>
      <w:proofErr w:type="gramEnd"/>
      <w:r>
        <w:rPr>
          <w:rFonts w:ascii="Arial" w:eastAsia="Times New Roman" w:hAnsi="Arial" w:cs="Arial"/>
          <w:color w:val="000000"/>
          <w:sz w:val="20"/>
          <w:szCs w:val="20"/>
          <w:lang w:eastAsia="es-ES"/>
        </w:rPr>
        <w:t xml:space="preserve"> firmada por padres/tutores. Indicando la modalidad del servicio y en que parada accederá el niño/niña.</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2.-   </w:t>
      </w:r>
      <w:proofErr w:type="spellStart"/>
      <w:r>
        <w:rPr>
          <w:rFonts w:ascii="Arial" w:eastAsia="Times New Roman" w:hAnsi="Arial" w:cs="Arial"/>
          <w:color w:val="000000"/>
          <w:sz w:val="20"/>
          <w:szCs w:val="20"/>
          <w:lang w:eastAsia="es-ES"/>
        </w:rPr>
        <w:t>Numero</w:t>
      </w:r>
      <w:proofErr w:type="spellEnd"/>
      <w:r>
        <w:rPr>
          <w:rFonts w:ascii="Arial" w:eastAsia="Times New Roman" w:hAnsi="Arial" w:cs="Arial"/>
          <w:color w:val="000000"/>
          <w:sz w:val="20"/>
          <w:szCs w:val="20"/>
          <w:lang w:eastAsia="es-ES"/>
        </w:rPr>
        <w:t xml:space="preserve"> de cuenta corriente donde cargar el recibo</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3.</w:t>
      </w:r>
      <w:proofErr w:type="gramStart"/>
      <w:r>
        <w:rPr>
          <w:rFonts w:ascii="Arial" w:eastAsia="Times New Roman" w:hAnsi="Arial" w:cs="Arial"/>
          <w:color w:val="000000"/>
          <w:sz w:val="20"/>
          <w:szCs w:val="20"/>
          <w:lang w:eastAsia="es-ES"/>
        </w:rPr>
        <w:t>-  Fotografía</w:t>
      </w:r>
      <w:proofErr w:type="gramEnd"/>
      <w:r>
        <w:rPr>
          <w:rFonts w:ascii="Arial" w:eastAsia="Times New Roman" w:hAnsi="Arial" w:cs="Arial"/>
          <w:color w:val="000000"/>
          <w:sz w:val="20"/>
          <w:szCs w:val="20"/>
          <w:lang w:eastAsia="es-ES"/>
        </w:rPr>
        <w:t xml:space="preserve"> del niño/niña </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 xml:space="preserve">         3.</w:t>
      </w:r>
      <w:proofErr w:type="gramStart"/>
      <w:r>
        <w:rPr>
          <w:rFonts w:ascii="Arial" w:eastAsia="Times New Roman" w:hAnsi="Arial" w:cs="Arial"/>
          <w:b/>
          <w:color w:val="000000"/>
          <w:sz w:val="20"/>
          <w:szCs w:val="20"/>
          <w:lang w:eastAsia="es-ES"/>
        </w:rPr>
        <w:t>-  PAGO</w:t>
      </w:r>
      <w:proofErr w:type="gramEnd"/>
      <w:r>
        <w:rPr>
          <w:rFonts w:ascii="Arial" w:eastAsia="Times New Roman" w:hAnsi="Arial" w:cs="Arial"/>
          <w:b/>
          <w:color w:val="000000"/>
          <w:sz w:val="20"/>
          <w:szCs w:val="20"/>
          <w:lang w:eastAsia="es-ES"/>
        </w:rPr>
        <w:t xml:space="preserve"> SERVICIO: MODALIDAD DE SERVICIO COMPLETO Y SERVICIO PARCIAL. </w:t>
      </w:r>
      <w:r>
        <w:rPr>
          <w:rFonts w:ascii="Arial" w:eastAsia="Times New Roman" w:hAnsi="Arial" w:cs="Arial"/>
          <w:color w:val="000000"/>
          <w:sz w:val="20"/>
          <w:szCs w:val="20"/>
          <w:lang w:eastAsia="es-ES"/>
        </w:rPr>
        <w:t xml:space="preserve">Se </w:t>
      </w:r>
      <w:proofErr w:type="gramStart"/>
      <w:r>
        <w:rPr>
          <w:rFonts w:ascii="Arial" w:eastAsia="Times New Roman" w:hAnsi="Arial" w:cs="Arial"/>
          <w:color w:val="000000"/>
          <w:sz w:val="20"/>
          <w:szCs w:val="20"/>
          <w:lang w:eastAsia="es-ES"/>
        </w:rPr>
        <w:t>generara</w:t>
      </w:r>
      <w:proofErr w:type="gramEnd"/>
      <w:r>
        <w:rPr>
          <w:rFonts w:ascii="Arial" w:eastAsia="Times New Roman" w:hAnsi="Arial" w:cs="Arial"/>
          <w:color w:val="000000"/>
          <w:sz w:val="20"/>
          <w:szCs w:val="20"/>
          <w:lang w:eastAsia="es-ES"/>
        </w:rPr>
        <w:t xml:space="preserve"> padrón mensual de acuerdo con las personas solicitantes del servicio.  Dado que el devengo se produce el día 1 de cada mes, se cargara en la cuenta corriente facilitada en el momento de la solicitud, el pago del precio </w:t>
      </w:r>
      <w:proofErr w:type="gramStart"/>
      <w:r>
        <w:rPr>
          <w:rFonts w:ascii="Arial" w:eastAsia="Times New Roman" w:hAnsi="Arial" w:cs="Arial"/>
          <w:color w:val="000000"/>
          <w:sz w:val="20"/>
          <w:szCs w:val="20"/>
          <w:lang w:eastAsia="es-ES"/>
        </w:rPr>
        <w:t>público  entre</w:t>
      </w:r>
      <w:proofErr w:type="gramEnd"/>
      <w:r>
        <w:rPr>
          <w:rFonts w:ascii="Arial" w:eastAsia="Times New Roman" w:hAnsi="Arial" w:cs="Arial"/>
          <w:color w:val="000000"/>
          <w:sz w:val="20"/>
          <w:szCs w:val="20"/>
          <w:lang w:eastAsia="es-ES"/>
        </w:rPr>
        <w:t xml:space="preserve"> el día 25 a 30 del mes anterior al inicio del servicio. </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 xml:space="preserve">         </w:t>
      </w:r>
      <w:r>
        <w:rPr>
          <w:rFonts w:ascii="Arial" w:eastAsia="Times New Roman" w:hAnsi="Arial" w:cs="Arial"/>
          <w:b/>
          <w:color w:val="000000"/>
          <w:sz w:val="20"/>
          <w:szCs w:val="20"/>
          <w:lang w:eastAsia="es-ES"/>
        </w:rPr>
        <w:t>4.</w:t>
      </w:r>
      <w:proofErr w:type="gramStart"/>
      <w:r>
        <w:rPr>
          <w:rFonts w:ascii="Arial" w:eastAsia="Times New Roman" w:hAnsi="Arial" w:cs="Arial"/>
          <w:b/>
          <w:color w:val="000000"/>
          <w:sz w:val="20"/>
          <w:szCs w:val="20"/>
          <w:lang w:eastAsia="es-ES"/>
        </w:rPr>
        <w:t>-  PAGO</w:t>
      </w:r>
      <w:proofErr w:type="gramEnd"/>
      <w:r>
        <w:rPr>
          <w:rFonts w:ascii="Arial" w:eastAsia="Times New Roman" w:hAnsi="Arial" w:cs="Arial"/>
          <w:b/>
          <w:color w:val="000000"/>
          <w:sz w:val="20"/>
          <w:szCs w:val="20"/>
          <w:lang w:eastAsia="es-ES"/>
        </w:rPr>
        <w:t xml:space="preserve"> SERVICIO: MODALIDAD DE SERVICIO DIAS SUELTOS.</w:t>
      </w:r>
      <w:r>
        <w:rPr>
          <w:rFonts w:ascii="Arial" w:eastAsia="Times New Roman" w:hAnsi="Arial" w:cs="Arial"/>
          <w:color w:val="000000"/>
          <w:sz w:val="20"/>
          <w:szCs w:val="20"/>
          <w:lang w:eastAsia="es-ES"/>
        </w:rPr>
        <w:t xml:space="preserve">  Cuando alguna familia tenga la necesidad de utilizar el servicio de transporte escolar de forma esporádica, deberá comunicarlo con una antelación mínima de 24 horas a las oficinas del Ayuntamiento, para que desde la Concejalía competente comuniquen a las cuidadoras del </w:t>
      </w:r>
      <w:proofErr w:type="gramStart"/>
      <w:r>
        <w:rPr>
          <w:rFonts w:ascii="Arial" w:eastAsia="Times New Roman" w:hAnsi="Arial" w:cs="Arial"/>
          <w:color w:val="000000"/>
          <w:sz w:val="20"/>
          <w:szCs w:val="20"/>
          <w:lang w:eastAsia="es-ES"/>
        </w:rPr>
        <w:t>Autobús,  que</w:t>
      </w:r>
      <w:proofErr w:type="gramEnd"/>
      <w:r>
        <w:rPr>
          <w:rFonts w:ascii="Arial" w:eastAsia="Times New Roman" w:hAnsi="Arial" w:cs="Arial"/>
          <w:color w:val="000000"/>
          <w:sz w:val="20"/>
          <w:szCs w:val="20"/>
          <w:lang w:eastAsia="es-ES"/>
        </w:rPr>
        <w:t xml:space="preserve"> permitan el acceso a ese niño/niña. Al mes siguiente se procederá a liquidar los días de servicio que deberán ser abonados en la cuenta bancaria del Ayuntamiento presentando el recibo notificado. </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 xml:space="preserve">           5.- EL IMPAGO DEL PRECIO PÚBLICO.</w:t>
      </w:r>
      <w:r>
        <w:rPr>
          <w:rFonts w:ascii="Arial" w:eastAsia="Times New Roman" w:hAnsi="Arial" w:cs="Arial"/>
          <w:color w:val="000000"/>
          <w:sz w:val="20"/>
          <w:szCs w:val="20"/>
          <w:lang w:eastAsia="es-ES"/>
        </w:rPr>
        <w:t xml:space="preserve">  El IMPAGO DE  1 MES conllevara </w:t>
      </w:r>
      <w:proofErr w:type="gramStart"/>
      <w:r>
        <w:rPr>
          <w:rFonts w:ascii="Arial" w:eastAsia="Times New Roman" w:hAnsi="Arial" w:cs="Arial"/>
          <w:color w:val="000000"/>
          <w:sz w:val="20"/>
          <w:szCs w:val="20"/>
          <w:lang w:eastAsia="es-ES"/>
        </w:rPr>
        <w:t>la  notificación</w:t>
      </w:r>
      <w:proofErr w:type="gramEnd"/>
      <w:r>
        <w:rPr>
          <w:rFonts w:ascii="Arial" w:eastAsia="Times New Roman" w:hAnsi="Arial" w:cs="Arial"/>
          <w:color w:val="000000"/>
          <w:sz w:val="20"/>
          <w:szCs w:val="20"/>
          <w:lang w:eastAsia="es-ES"/>
        </w:rPr>
        <w:t xml:space="preserve"> de advertencia, un segundo impago conllevara  el cese del servicio, sin menoscabo del inicio del procedimiento de recaudación en vía ejecutiva.</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 xml:space="preserve">           6.</w:t>
      </w:r>
      <w:proofErr w:type="gramStart"/>
      <w:r>
        <w:rPr>
          <w:rFonts w:ascii="Arial" w:eastAsia="Times New Roman" w:hAnsi="Arial" w:cs="Arial"/>
          <w:b/>
          <w:color w:val="000000"/>
          <w:sz w:val="20"/>
          <w:szCs w:val="20"/>
          <w:lang w:eastAsia="es-ES"/>
        </w:rPr>
        <w:t>-  MODIFICACIONES</w:t>
      </w:r>
      <w:proofErr w:type="gramEnd"/>
      <w:r>
        <w:rPr>
          <w:rFonts w:ascii="Arial" w:eastAsia="Times New Roman" w:hAnsi="Arial" w:cs="Arial"/>
          <w:b/>
          <w:color w:val="000000"/>
          <w:sz w:val="20"/>
          <w:szCs w:val="20"/>
          <w:lang w:eastAsia="es-ES"/>
        </w:rPr>
        <w:t xml:space="preserve"> DEL TIPO DE SERVICIO</w:t>
      </w:r>
      <w:r>
        <w:rPr>
          <w:rFonts w:ascii="Arial" w:eastAsia="Times New Roman" w:hAnsi="Arial" w:cs="Arial"/>
          <w:color w:val="000000"/>
          <w:sz w:val="20"/>
          <w:szCs w:val="20"/>
          <w:lang w:eastAsia="es-ES"/>
        </w:rPr>
        <w:t xml:space="preserve">:  A lo largo del curso escolar podrán cambiar de modalidad comunicándolo antes del día 15 del mes, para que sea de aplicación al mes siguiente.   Los meses de vacaciones de Navidad y Semana Santa no se permitirán la modificación a modalidad de días sueltos. </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Se </w:t>
      </w:r>
      <w:proofErr w:type="gramStart"/>
      <w:r>
        <w:rPr>
          <w:rFonts w:ascii="Arial" w:eastAsia="Times New Roman" w:hAnsi="Arial" w:cs="Arial"/>
          <w:color w:val="000000"/>
          <w:sz w:val="20"/>
          <w:szCs w:val="20"/>
          <w:lang w:eastAsia="es-ES"/>
        </w:rPr>
        <w:t>valoraran</w:t>
      </w:r>
      <w:proofErr w:type="gramEnd"/>
      <w:r>
        <w:rPr>
          <w:rFonts w:ascii="Arial" w:eastAsia="Times New Roman" w:hAnsi="Arial" w:cs="Arial"/>
          <w:color w:val="000000"/>
          <w:sz w:val="20"/>
          <w:szCs w:val="20"/>
          <w:lang w:eastAsia="es-ES"/>
        </w:rPr>
        <w:t xml:space="preserve"> casos de especial urgencia. </w:t>
      </w:r>
    </w:p>
    <w:p w:rsidR="00CE3C57" w:rsidRDefault="00CE3C57" w:rsidP="00CE3C57">
      <w:pPr>
        <w:spacing w:before="100" w:beforeAutospacing="1" w:line="360" w:lineRule="auto"/>
        <w:jc w:val="both"/>
        <w:rPr>
          <w:rFonts w:ascii="Arial" w:eastAsia="Times New Roman" w:hAnsi="Arial" w:cs="Arial"/>
          <w:iCs/>
          <w:color w:val="000000"/>
          <w:sz w:val="20"/>
          <w:szCs w:val="20"/>
          <w:lang w:eastAsia="es-ES"/>
        </w:rPr>
      </w:pPr>
      <w:r>
        <w:rPr>
          <w:rFonts w:ascii="Arial" w:eastAsia="Times New Roman" w:hAnsi="Arial" w:cs="Arial"/>
          <w:iCs/>
          <w:color w:val="000000"/>
          <w:sz w:val="20"/>
          <w:szCs w:val="20"/>
          <w:lang w:eastAsia="es-ES"/>
        </w:rPr>
        <w:t>Una vez efectuada la inscripción, no procederá la devolución de los importes abonados por causas ajenas a este Ayuntamiento.</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iCs/>
          <w:color w:val="000000"/>
          <w:sz w:val="20"/>
          <w:szCs w:val="20"/>
          <w:lang w:eastAsia="es-ES"/>
        </w:rPr>
        <w:t xml:space="preserve">Para tramitar una baja, se deberá formular por escrito en el Registro General de este Ayuntamiento, no surtiendo efecto hasta la fecha de presentación de </w:t>
      </w:r>
      <w:proofErr w:type="gramStart"/>
      <w:r>
        <w:rPr>
          <w:rFonts w:ascii="Arial" w:eastAsia="Times New Roman" w:hAnsi="Arial" w:cs="Arial"/>
          <w:iCs/>
          <w:color w:val="000000"/>
          <w:sz w:val="20"/>
          <w:szCs w:val="20"/>
          <w:lang w:eastAsia="es-ES"/>
        </w:rPr>
        <w:t>la misma</w:t>
      </w:r>
      <w:proofErr w:type="gramEnd"/>
      <w:r>
        <w:rPr>
          <w:rFonts w:ascii="Arial" w:eastAsia="Times New Roman" w:hAnsi="Arial" w:cs="Arial"/>
          <w:iCs/>
          <w:color w:val="000000"/>
          <w:sz w:val="20"/>
          <w:szCs w:val="20"/>
          <w:lang w:eastAsia="es-ES"/>
        </w:rPr>
        <w:t xml:space="preserve">. </w:t>
      </w:r>
    </w:p>
    <w:p w:rsidR="00CE3C57" w:rsidRDefault="00CE3C57" w:rsidP="00CE3C57">
      <w:pPr>
        <w:spacing w:before="100" w:beforeAutospacing="1" w:line="360" w:lineRule="auto"/>
        <w:jc w:val="both"/>
        <w:rPr>
          <w:rFonts w:ascii="Arial" w:eastAsia="Times New Roman" w:hAnsi="Arial" w:cs="Arial"/>
          <w:b/>
          <w:color w:val="000000"/>
          <w:sz w:val="20"/>
          <w:szCs w:val="20"/>
          <w:lang w:eastAsia="es-ES"/>
        </w:rPr>
      </w:pPr>
      <w:r>
        <w:rPr>
          <w:rFonts w:ascii="Arial" w:eastAsia="Times New Roman" w:hAnsi="Arial" w:cs="Arial"/>
          <w:color w:val="000000"/>
          <w:sz w:val="20"/>
          <w:szCs w:val="20"/>
          <w:lang w:eastAsia="es-ES"/>
        </w:rPr>
        <w:t xml:space="preserve">              </w:t>
      </w:r>
      <w:r>
        <w:rPr>
          <w:rFonts w:ascii="Arial" w:eastAsia="Times New Roman" w:hAnsi="Arial" w:cs="Arial"/>
          <w:b/>
          <w:color w:val="000000"/>
          <w:sz w:val="20"/>
          <w:szCs w:val="20"/>
          <w:lang w:eastAsia="es-ES"/>
        </w:rPr>
        <w:t xml:space="preserve">7.-   TARJETAS IDENTIFICATIVAS: </w:t>
      </w:r>
    </w:p>
    <w:p w:rsidR="00CE3C57" w:rsidRDefault="00CE3C57" w:rsidP="00CE3C57">
      <w:pPr>
        <w:spacing w:before="100" w:beforeAutospacing="1" w:line="360" w:lineRule="auto"/>
        <w:jc w:val="both"/>
        <w:rPr>
          <w:rFonts w:ascii="Arial" w:eastAsia="Times New Roman" w:hAnsi="Arial" w:cs="Arial"/>
          <w:b/>
          <w:color w:val="000000"/>
          <w:sz w:val="20"/>
          <w:szCs w:val="20"/>
          <w:lang w:eastAsia="es-ES"/>
        </w:rPr>
      </w:pPr>
      <w:r>
        <w:rPr>
          <w:rFonts w:ascii="Arial" w:eastAsia="Times New Roman" w:hAnsi="Arial" w:cs="Arial"/>
          <w:color w:val="000000"/>
          <w:sz w:val="20"/>
          <w:szCs w:val="20"/>
          <w:lang w:eastAsia="es-ES"/>
        </w:rPr>
        <w:t xml:space="preserve"> Se </w:t>
      </w:r>
      <w:proofErr w:type="gramStart"/>
      <w:r>
        <w:rPr>
          <w:rFonts w:ascii="Arial" w:eastAsia="Times New Roman" w:hAnsi="Arial" w:cs="Arial"/>
          <w:color w:val="000000"/>
          <w:sz w:val="20"/>
          <w:szCs w:val="20"/>
          <w:lang w:eastAsia="es-ES"/>
        </w:rPr>
        <w:t>valorara</w:t>
      </w:r>
      <w:proofErr w:type="gramEnd"/>
      <w:r>
        <w:rPr>
          <w:rFonts w:ascii="Arial" w:eastAsia="Times New Roman" w:hAnsi="Arial" w:cs="Arial"/>
          <w:color w:val="000000"/>
          <w:sz w:val="20"/>
          <w:szCs w:val="20"/>
          <w:lang w:eastAsia="es-ES"/>
        </w:rPr>
        <w:t xml:space="preserve"> por el Ayuntamiento la confección de TARJETAS DE COLORES que facilite la identificación de los niños, Septiembre/Noviembre/Enero/Marzo/Mayo color 1 y Octubre/Diciembre/Febrero/Abril/Junio, color 2. El pago del mes implicara la entrega de la tarjeta correspondiente y que será dada el día 1 de cada mes por el conserje del colegio, para que puedan ser debidamente identificados por el personal del </w:t>
      </w:r>
      <w:proofErr w:type="gramStart"/>
      <w:r>
        <w:rPr>
          <w:rFonts w:ascii="Arial" w:eastAsia="Times New Roman" w:hAnsi="Arial" w:cs="Arial"/>
          <w:color w:val="000000"/>
          <w:sz w:val="20"/>
          <w:szCs w:val="20"/>
          <w:lang w:eastAsia="es-ES"/>
        </w:rPr>
        <w:t>autobús  Los</w:t>
      </w:r>
      <w:proofErr w:type="gramEnd"/>
      <w:r>
        <w:rPr>
          <w:rFonts w:ascii="Arial" w:eastAsia="Times New Roman" w:hAnsi="Arial" w:cs="Arial"/>
          <w:color w:val="000000"/>
          <w:sz w:val="20"/>
          <w:szCs w:val="20"/>
          <w:lang w:eastAsia="es-ES"/>
        </w:rPr>
        <w:t xml:space="preserve"> niños con modalidad días sueltos se le facilitara una tarjeta blanca</w:t>
      </w:r>
      <w:r>
        <w:rPr>
          <w:rFonts w:ascii="Arial" w:eastAsia="Times New Roman" w:hAnsi="Arial" w:cs="Arial"/>
          <w:b/>
          <w:color w:val="000000"/>
          <w:sz w:val="20"/>
          <w:szCs w:val="20"/>
          <w:lang w:eastAsia="es-ES"/>
        </w:rPr>
        <w:t xml:space="preserve">. </w:t>
      </w:r>
    </w:p>
    <w:p w:rsidR="00CE3C57" w:rsidRDefault="00CE3C57" w:rsidP="00CE3C57">
      <w:pPr>
        <w:pBdr>
          <w:top w:val="single" w:sz="8" w:space="1" w:color="333399"/>
          <w:left w:val="single" w:sz="8" w:space="0" w:color="333399"/>
          <w:bottom w:val="single" w:sz="8" w:space="0" w:color="333399"/>
          <w:right w:val="single" w:sz="8" w:space="1" w:color="333399"/>
        </w:pBdr>
        <w:shd w:val="clear" w:color="auto" w:fill="FFCC99"/>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t>ARTÍCULO 9. Modificación</w:t>
      </w:r>
    </w:p>
    <w:p w:rsidR="00CE3C57" w:rsidRDefault="00CE3C57" w:rsidP="00CE3C57">
      <w:pPr>
        <w:spacing w:before="100" w:beforeAutospacing="1" w:line="360" w:lineRule="auto"/>
        <w:ind w:firstLine="697"/>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La modificación de los precios públicos fijados en la presente Ordenanza corresponderá al Pleno de la Corporación.</w:t>
      </w:r>
    </w:p>
    <w:p w:rsidR="00CE3C57" w:rsidRDefault="00CE3C57" w:rsidP="00CE3C57">
      <w:pPr>
        <w:pBdr>
          <w:top w:val="single" w:sz="8" w:space="2" w:color="333399"/>
          <w:left w:val="single" w:sz="8" w:space="0" w:color="333399"/>
          <w:bottom w:val="single" w:sz="8" w:space="0" w:color="333399"/>
          <w:right w:val="single" w:sz="8" w:space="1" w:color="333399"/>
        </w:pBdr>
        <w:shd w:val="clear" w:color="auto" w:fill="FFCC99"/>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t>ARTÍCULO 10. Infracciones y Sanciones</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p>
    <w:p w:rsid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 xml:space="preserve">En todo lo relativo a la calificación de infracciones tributarias, así como a las sanciones que a las mismas correspondan en cada caso, se estará a lo dispuesto en los artículos 181 y siguientes de la Ley 58/2003, de 17 de diciembre, General Tributaria, así como sus disposiciones de desarrollo, según </w:t>
      </w:r>
      <w:r>
        <w:rPr>
          <w:rFonts w:ascii="Arial" w:eastAsia="Times New Roman" w:hAnsi="Arial" w:cs="Arial"/>
          <w:color w:val="000000"/>
          <w:spacing w:val="-4"/>
          <w:sz w:val="20"/>
          <w:szCs w:val="20"/>
          <w:lang w:eastAsia="es-ES"/>
        </w:rPr>
        <w:t>lo dispuesto en el artículo 11 del Texto Refundido de la Ley Reguladora de las Haciendas Locales, aprobado por el Real Decreto Legislativo 2/2004, de 5 de marzo.</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r>
        <w:rPr>
          <w:rFonts w:ascii="Arial" w:eastAsia="Times New Roman" w:hAnsi="Arial" w:cs="Arial"/>
          <w:color w:val="000000"/>
          <w:spacing w:val="-4"/>
          <w:sz w:val="20"/>
          <w:szCs w:val="20"/>
          <w:lang w:eastAsia="es-ES"/>
        </w:rPr>
        <w:t xml:space="preserve">             </w:t>
      </w:r>
      <w:r>
        <w:rPr>
          <w:rFonts w:ascii="Arial" w:eastAsia="Times New Roman" w:hAnsi="Arial" w:cs="Arial"/>
          <w:color w:val="000000"/>
          <w:sz w:val="20"/>
          <w:szCs w:val="20"/>
          <w:lang w:eastAsia="es-ES"/>
        </w:rPr>
        <w:t>A su vez, podrán exigirse por procedimiento administrativo de apremio las deudas por este servicio, de conformidad con el artículo 46.3 del Texto Refundido de la Ley Reguladora de las Haciendas Locales, aprobado por Real Decreto Legislativo 2/2004, de 5 de marzo y la normativa de recaudación que sea de aplicación.</w:t>
      </w:r>
    </w:p>
    <w:p w:rsidR="00CE3C57" w:rsidRDefault="00CE3C57" w:rsidP="00CE3C57">
      <w:pPr>
        <w:pBdr>
          <w:top w:val="single" w:sz="8" w:space="2" w:color="333399"/>
          <w:left w:val="single" w:sz="8" w:space="0" w:color="333399"/>
          <w:bottom w:val="single" w:sz="8" w:space="0" w:color="333399"/>
          <w:right w:val="single" w:sz="8" w:space="1" w:color="333399"/>
        </w:pBdr>
        <w:shd w:val="clear" w:color="auto" w:fill="FFCC99"/>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t>ARTÍCULO 11. Legislación Aplicable</w:t>
      </w:r>
    </w:p>
    <w:p w:rsidR="00CE3C57" w:rsidRDefault="00CE3C57" w:rsidP="00CE3C57">
      <w:pPr>
        <w:spacing w:before="100" w:beforeAutospacing="1" w:line="360" w:lineRule="auto"/>
        <w:jc w:val="both"/>
        <w:rPr>
          <w:rFonts w:ascii="Arial" w:eastAsia="Times New Roman" w:hAnsi="Arial" w:cs="Arial"/>
          <w:color w:val="000000"/>
          <w:sz w:val="20"/>
          <w:szCs w:val="20"/>
          <w:lang w:eastAsia="es-ES"/>
        </w:rPr>
      </w:pPr>
    </w:p>
    <w:p w:rsidR="00CE3C57" w:rsidRDefault="00CE3C57" w:rsidP="00CE3C57">
      <w:pPr>
        <w:spacing w:before="100" w:beforeAutospacing="1" w:line="360" w:lineRule="auto"/>
        <w:ind w:right="74"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 todo lo no previsto en la presente Ordenanza se estará a lo dispuesto en el texto refundido de la Ley Reguladora de las Haciendas Locales, aprobado por el Real Decreto Legislativo 2/2004, de 5 de marzo, la Ley 7/1985, de 2 de abril, Reguladora de las Bases de Régimen Local, la Ley 58/2003, de 17 de diciembre, General Tributaria, la Ley 8/1989, de 13 de abril, de Tasas y Precios Públicos, así como en la Ordenanza Fiscal General aprobada por este Ayuntamiento.</w:t>
      </w:r>
    </w:p>
    <w:p w:rsidR="00CE3C57" w:rsidRDefault="00CE3C57" w:rsidP="00CE3C57">
      <w:pPr>
        <w:pBdr>
          <w:top w:val="single" w:sz="8" w:space="2" w:color="333399"/>
          <w:left w:val="single" w:sz="8" w:space="0" w:color="333399"/>
          <w:bottom w:val="single" w:sz="8" w:space="0" w:color="333399"/>
          <w:right w:val="single" w:sz="8" w:space="1" w:color="333399"/>
        </w:pBdr>
        <w:shd w:val="clear" w:color="auto" w:fill="FFCC99"/>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b/>
          <w:bCs/>
          <w:color w:val="333399"/>
          <w:sz w:val="20"/>
          <w:szCs w:val="20"/>
          <w:lang w:eastAsia="es-ES"/>
        </w:rPr>
        <w:t>DISPOSICIÓN FINAL</w:t>
      </w:r>
    </w:p>
    <w:p w:rsidR="00D87760" w:rsidRPr="00CE3C57" w:rsidRDefault="00CE3C57" w:rsidP="00CE3C57">
      <w:pPr>
        <w:spacing w:before="100" w:beforeAutospacing="1" w:line="360" w:lineRule="auto"/>
        <w:ind w:firstLine="709"/>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La presente Ordenanza, que fue aprobada por el Pleno de este Ayuntamiento en sesión celebrada el día</w:t>
      </w:r>
      <w:r w:rsidR="0010599C">
        <w:rPr>
          <w:rFonts w:ascii="Arial" w:eastAsia="Times New Roman" w:hAnsi="Arial" w:cs="Arial"/>
          <w:color w:val="000000"/>
          <w:sz w:val="20"/>
          <w:szCs w:val="20"/>
          <w:lang w:eastAsia="es-ES"/>
        </w:rPr>
        <w:t xml:space="preserve"> 14/07/17</w:t>
      </w:r>
      <w:r>
        <w:rPr>
          <w:rFonts w:ascii="Arial" w:eastAsia="Times New Roman" w:hAnsi="Arial" w:cs="Arial"/>
          <w:color w:val="000000"/>
          <w:sz w:val="20"/>
          <w:szCs w:val="20"/>
          <w:lang w:eastAsia="es-ES"/>
        </w:rPr>
        <w:t xml:space="preserve">, entrará en vigor el mismo día de su publicación en el </w:t>
      </w:r>
      <w:r>
        <w:rPr>
          <w:rFonts w:ascii="Arial" w:eastAsia="Times New Roman" w:hAnsi="Arial" w:cs="Arial"/>
          <w:i/>
          <w:iCs/>
          <w:color w:val="000000"/>
          <w:sz w:val="20"/>
          <w:szCs w:val="20"/>
          <w:lang w:eastAsia="es-ES"/>
        </w:rPr>
        <w:t>Boletín Oficial de la Provincia</w:t>
      </w:r>
      <w:r>
        <w:rPr>
          <w:rFonts w:ascii="Arial" w:eastAsia="Times New Roman" w:hAnsi="Arial" w:cs="Arial"/>
          <w:color w:val="000000"/>
          <w:sz w:val="20"/>
          <w:szCs w:val="20"/>
          <w:lang w:eastAsia="es-ES"/>
        </w:rPr>
        <w:t xml:space="preserve"> y será de aplicación a partir de inicio del curso escolar permaneciendo en vigor hasta que se acuerde su modificación o su derogación expresa.”</w:t>
      </w:r>
    </w:p>
    <w:p w:rsidR="00D87760" w:rsidRPr="003A1D36" w:rsidRDefault="00D87760" w:rsidP="00D87760">
      <w:pPr>
        <w:spacing w:after="0" w:line="240" w:lineRule="auto"/>
        <w:jc w:val="center"/>
        <w:rPr>
          <w:sz w:val="28"/>
          <w:szCs w:val="28"/>
        </w:rPr>
      </w:pPr>
      <w:r w:rsidRPr="003A1D36">
        <w:rPr>
          <w:sz w:val="28"/>
          <w:szCs w:val="28"/>
        </w:rPr>
        <w:t xml:space="preserve">En Ugena a </w:t>
      </w:r>
      <w:r w:rsidR="0048376A">
        <w:rPr>
          <w:sz w:val="28"/>
          <w:szCs w:val="28"/>
        </w:rPr>
        <w:t>14 de julio de 2017</w:t>
      </w:r>
    </w:p>
    <w:p w:rsidR="00D87760" w:rsidRPr="003A1D36" w:rsidRDefault="00D87760" w:rsidP="000F4F46">
      <w:pPr>
        <w:spacing w:after="0" w:line="240" w:lineRule="auto"/>
        <w:jc w:val="both"/>
        <w:rPr>
          <w:sz w:val="28"/>
          <w:szCs w:val="28"/>
        </w:rPr>
      </w:pPr>
    </w:p>
    <w:p w:rsidR="00D87760" w:rsidRPr="003A1D36" w:rsidRDefault="00D87760" w:rsidP="00D87760">
      <w:pPr>
        <w:spacing w:after="0" w:line="240" w:lineRule="auto"/>
        <w:jc w:val="center"/>
        <w:rPr>
          <w:b/>
          <w:sz w:val="28"/>
          <w:szCs w:val="28"/>
        </w:rPr>
      </w:pPr>
      <w:r w:rsidRPr="003A1D36">
        <w:rPr>
          <w:b/>
          <w:sz w:val="28"/>
          <w:szCs w:val="28"/>
        </w:rPr>
        <w:t>EL ALCALDE</w:t>
      </w:r>
    </w:p>
    <w:p w:rsidR="00D87760" w:rsidRDefault="00D87760" w:rsidP="00D87760">
      <w:pPr>
        <w:spacing w:after="0" w:line="240" w:lineRule="auto"/>
        <w:jc w:val="center"/>
        <w:rPr>
          <w:b/>
          <w:sz w:val="28"/>
          <w:szCs w:val="28"/>
        </w:rPr>
      </w:pPr>
      <w:r w:rsidRPr="003A1D36">
        <w:rPr>
          <w:b/>
          <w:sz w:val="28"/>
          <w:szCs w:val="28"/>
        </w:rPr>
        <w:t>Jesús García Fernández</w:t>
      </w:r>
    </w:p>
    <w:p w:rsidR="00CE3C57" w:rsidRDefault="00CE3C57" w:rsidP="00D87760">
      <w:pPr>
        <w:spacing w:after="0" w:line="240" w:lineRule="auto"/>
        <w:jc w:val="center"/>
        <w:rPr>
          <w:b/>
          <w:sz w:val="28"/>
          <w:szCs w:val="28"/>
        </w:rPr>
      </w:pPr>
    </w:p>
    <w:tbl>
      <w:tblPr>
        <w:tblW w:w="9572" w:type="dxa"/>
        <w:jc w:val="center"/>
        <w:tblLayout w:type="fixed"/>
        <w:tblCellMar>
          <w:left w:w="70" w:type="dxa"/>
          <w:right w:w="70" w:type="dxa"/>
        </w:tblCellMar>
        <w:tblLook w:val="0000" w:firstRow="0" w:lastRow="0" w:firstColumn="0" w:lastColumn="0" w:noHBand="0" w:noVBand="0"/>
      </w:tblPr>
      <w:tblGrid>
        <w:gridCol w:w="709"/>
        <w:gridCol w:w="1340"/>
        <w:gridCol w:w="1639"/>
        <w:gridCol w:w="815"/>
        <w:gridCol w:w="1309"/>
        <w:gridCol w:w="709"/>
        <w:gridCol w:w="1418"/>
        <w:gridCol w:w="1633"/>
      </w:tblGrid>
      <w:tr w:rsidR="00CE3C57" w:rsidRPr="002833F5" w:rsidTr="00CE3C57">
        <w:trPr>
          <w:tblHeader/>
          <w:jc w:val="center"/>
        </w:trPr>
        <w:tc>
          <w:tcPr>
            <w:tcW w:w="709" w:type="dxa"/>
            <w:tcBorders>
              <w:top w:val="single" w:sz="6" w:space="0" w:color="auto"/>
              <w:left w:val="single" w:sz="12" w:space="0" w:color="auto"/>
              <w:bottom w:val="single" w:sz="4" w:space="0" w:color="auto"/>
              <w:right w:val="single" w:sz="12"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r w:rsidRPr="002833F5">
              <w:rPr>
                <w:sz w:val="20"/>
                <w:lang w:val="es-ES_tradnl"/>
              </w:rPr>
              <w:t>ORD</w:t>
            </w:r>
          </w:p>
        </w:tc>
        <w:tc>
          <w:tcPr>
            <w:tcW w:w="2979" w:type="dxa"/>
            <w:gridSpan w:val="2"/>
            <w:tcBorders>
              <w:top w:val="single" w:sz="6" w:space="0" w:color="auto"/>
              <w:left w:val="nil"/>
              <w:bottom w:val="single" w:sz="4" w:space="0" w:color="auto"/>
              <w:right w:val="nil"/>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r w:rsidRPr="002833F5">
              <w:rPr>
                <w:sz w:val="20"/>
                <w:lang w:val="es-ES_tradnl"/>
              </w:rPr>
              <w:t>FECHA DE PLENO</w:t>
            </w:r>
          </w:p>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p>
        </w:tc>
        <w:tc>
          <w:tcPr>
            <w:tcW w:w="4251" w:type="dxa"/>
            <w:gridSpan w:val="4"/>
            <w:tcBorders>
              <w:top w:val="single" w:sz="6" w:space="0" w:color="auto"/>
              <w:left w:val="single" w:sz="12" w:space="0" w:color="auto"/>
              <w:bottom w:val="single" w:sz="4" w:space="0" w:color="auto"/>
              <w:right w:val="nil"/>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r w:rsidRPr="002833F5">
              <w:rPr>
                <w:sz w:val="20"/>
                <w:lang w:val="es-ES_tradnl"/>
              </w:rPr>
              <w:t>PUBLICACION BOP</w:t>
            </w:r>
          </w:p>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p>
        </w:tc>
        <w:tc>
          <w:tcPr>
            <w:tcW w:w="1633" w:type="dxa"/>
            <w:tcBorders>
              <w:top w:val="single" w:sz="6" w:space="0" w:color="auto"/>
              <w:left w:val="single" w:sz="12" w:space="0" w:color="auto"/>
              <w:bottom w:val="single" w:sz="4" w:space="0" w:color="auto"/>
              <w:right w:val="single" w:sz="12"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r w:rsidRPr="002833F5">
              <w:rPr>
                <w:sz w:val="20"/>
                <w:lang w:val="es-ES_tradnl"/>
              </w:rPr>
              <w:t>ENTRADA EN VIGOR</w:t>
            </w:r>
          </w:p>
        </w:tc>
      </w:tr>
      <w:tr w:rsidR="00CE3C57" w:rsidRPr="002833F5" w:rsidTr="00CE3C57">
        <w:trPr>
          <w:tblHeader/>
          <w:jc w:val="center"/>
        </w:trPr>
        <w:tc>
          <w:tcPr>
            <w:tcW w:w="709"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proofErr w:type="spellStart"/>
            <w:r w:rsidRPr="002833F5">
              <w:rPr>
                <w:sz w:val="20"/>
                <w:lang w:val="es-ES_tradnl"/>
              </w:rPr>
              <w:t>Nº</w:t>
            </w:r>
            <w:proofErr w:type="spellEnd"/>
          </w:p>
        </w:tc>
        <w:tc>
          <w:tcPr>
            <w:tcW w:w="1340"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r w:rsidRPr="002833F5">
              <w:rPr>
                <w:sz w:val="20"/>
                <w:lang w:val="es-ES_tradnl"/>
              </w:rPr>
              <w:t>APROBAC.</w:t>
            </w:r>
          </w:p>
        </w:tc>
        <w:tc>
          <w:tcPr>
            <w:tcW w:w="1639"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r w:rsidRPr="002833F5">
              <w:rPr>
                <w:sz w:val="20"/>
                <w:lang w:val="es-ES_tradnl"/>
              </w:rPr>
              <w:t>MODIFICAC.</w:t>
            </w:r>
          </w:p>
        </w:tc>
        <w:tc>
          <w:tcPr>
            <w:tcW w:w="815"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r w:rsidRPr="002833F5">
              <w:rPr>
                <w:sz w:val="20"/>
                <w:lang w:val="es-ES_tradnl"/>
              </w:rPr>
              <w:t>Núm.</w:t>
            </w:r>
          </w:p>
        </w:tc>
        <w:tc>
          <w:tcPr>
            <w:tcW w:w="1309"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r w:rsidRPr="002833F5">
              <w:rPr>
                <w:sz w:val="20"/>
                <w:lang w:val="es-ES_tradnl"/>
              </w:rPr>
              <w:t>Día</w:t>
            </w:r>
          </w:p>
        </w:tc>
        <w:tc>
          <w:tcPr>
            <w:tcW w:w="709"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r w:rsidRPr="002833F5">
              <w:rPr>
                <w:sz w:val="20"/>
                <w:lang w:val="es-ES_tradnl"/>
              </w:rPr>
              <w:t>Núm.</w:t>
            </w:r>
          </w:p>
        </w:tc>
        <w:tc>
          <w:tcPr>
            <w:tcW w:w="1418"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r w:rsidRPr="002833F5">
              <w:rPr>
                <w:sz w:val="20"/>
                <w:lang w:val="es-ES_tradnl"/>
              </w:rPr>
              <w:t>Día</w:t>
            </w:r>
          </w:p>
        </w:tc>
        <w:tc>
          <w:tcPr>
            <w:tcW w:w="1633"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sz w:val="20"/>
                <w:lang w:val="es-ES_tradnl"/>
              </w:rPr>
            </w:pPr>
            <w:r w:rsidRPr="002833F5">
              <w:rPr>
                <w:sz w:val="20"/>
                <w:lang w:val="es-ES_tradnl"/>
              </w:rPr>
              <w:t>Fecha</w:t>
            </w:r>
          </w:p>
        </w:tc>
      </w:tr>
      <w:tr w:rsidR="00CE3C57" w:rsidRPr="002833F5" w:rsidTr="00CE3C57">
        <w:trPr>
          <w:jc w:val="center"/>
        </w:trPr>
        <w:tc>
          <w:tcPr>
            <w:tcW w:w="709"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c>
          <w:tcPr>
            <w:tcW w:w="1340" w:type="dxa"/>
            <w:tcBorders>
              <w:top w:val="single" w:sz="4" w:space="0" w:color="auto"/>
              <w:left w:val="single" w:sz="4" w:space="0" w:color="auto"/>
              <w:bottom w:val="single" w:sz="4" w:space="0" w:color="auto"/>
              <w:right w:val="single" w:sz="4" w:space="0" w:color="auto"/>
            </w:tcBorders>
          </w:tcPr>
          <w:p w:rsidR="00CE3C57" w:rsidRPr="002833F5" w:rsidRDefault="00B03794"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r>
              <w:rPr>
                <w:b/>
                <w:sz w:val="20"/>
                <w:lang w:val="es-ES_tradnl"/>
              </w:rPr>
              <w:t>14/07/2017</w:t>
            </w:r>
          </w:p>
        </w:tc>
        <w:tc>
          <w:tcPr>
            <w:tcW w:w="1639"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c>
          <w:tcPr>
            <w:tcW w:w="815" w:type="dxa"/>
            <w:tcBorders>
              <w:top w:val="single" w:sz="4" w:space="0" w:color="auto"/>
              <w:left w:val="single" w:sz="4" w:space="0" w:color="auto"/>
              <w:bottom w:val="single" w:sz="4" w:space="0" w:color="auto"/>
              <w:right w:val="single" w:sz="4" w:space="0" w:color="auto"/>
            </w:tcBorders>
          </w:tcPr>
          <w:p w:rsidR="00CE3C57" w:rsidRPr="002833F5" w:rsidRDefault="00B03794"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r>
              <w:rPr>
                <w:b/>
                <w:sz w:val="20"/>
                <w:lang w:val="es-ES_tradnl"/>
              </w:rPr>
              <w:t>136</w:t>
            </w:r>
          </w:p>
        </w:tc>
        <w:tc>
          <w:tcPr>
            <w:tcW w:w="1309" w:type="dxa"/>
            <w:tcBorders>
              <w:top w:val="single" w:sz="4" w:space="0" w:color="auto"/>
              <w:left w:val="single" w:sz="4" w:space="0" w:color="auto"/>
              <w:bottom w:val="single" w:sz="4" w:space="0" w:color="auto"/>
              <w:right w:val="single" w:sz="4" w:space="0" w:color="auto"/>
            </w:tcBorders>
          </w:tcPr>
          <w:p w:rsidR="00CE3C57" w:rsidRPr="002833F5" w:rsidRDefault="00B03794"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r>
              <w:rPr>
                <w:b/>
                <w:sz w:val="20"/>
                <w:lang w:val="es-ES_tradnl"/>
              </w:rPr>
              <w:t>20/07/2017</w:t>
            </w:r>
          </w:p>
        </w:tc>
        <w:tc>
          <w:tcPr>
            <w:tcW w:w="709"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c>
          <w:tcPr>
            <w:tcW w:w="1633" w:type="dxa"/>
            <w:tcBorders>
              <w:top w:val="single" w:sz="4" w:space="0" w:color="auto"/>
              <w:left w:val="single" w:sz="4" w:space="0" w:color="auto"/>
              <w:bottom w:val="single" w:sz="4" w:space="0" w:color="auto"/>
              <w:right w:val="single" w:sz="4" w:space="0" w:color="auto"/>
            </w:tcBorders>
          </w:tcPr>
          <w:p w:rsidR="00CE3C57" w:rsidRPr="002833F5" w:rsidRDefault="00B03794"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r>
              <w:rPr>
                <w:b/>
                <w:sz w:val="20"/>
                <w:lang w:val="es-ES_tradnl"/>
              </w:rPr>
              <w:t>20/07/2017</w:t>
            </w:r>
          </w:p>
        </w:tc>
      </w:tr>
      <w:tr w:rsidR="00CE3C57" w:rsidRPr="002833F5" w:rsidTr="00CE3C57">
        <w:trPr>
          <w:jc w:val="center"/>
        </w:trPr>
        <w:tc>
          <w:tcPr>
            <w:tcW w:w="709"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c>
          <w:tcPr>
            <w:tcW w:w="1340"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c>
          <w:tcPr>
            <w:tcW w:w="1639"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c>
          <w:tcPr>
            <w:tcW w:w="815"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c>
          <w:tcPr>
            <w:tcW w:w="1309"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c>
          <w:tcPr>
            <w:tcW w:w="709"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c>
          <w:tcPr>
            <w:tcW w:w="1418"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c>
          <w:tcPr>
            <w:tcW w:w="1633" w:type="dxa"/>
            <w:tcBorders>
              <w:top w:val="single" w:sz="4" w:space="0" w:color="auto"/>
              <w:left w:val="single" w:sz="4" w:space="0" w:color="auto"/>
              <w:bottom w:val="single" w:sz="4" w:space="0" w:color="auto"/>
              <w:right w:val="single" w:sz="4" w:space="0" w:color="auto"/>
            </w:tcBorders>
          </w:tcPr>
          <w:p w:rsidR="00CE3C57" w:rsidRPr="002833F5" w:rsidRDefault="00CE3C57" w:rsidP="0010599C">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napToGrid w:val="0"/>
              <w:jc w:val="center"/>
              <w:rPr>
                <w:b/>
                <w:sz w:val="20"/>
                <w:lang w:val="es-ES_tradnl"/>
              </w:rPr>
            </w:pPr>
          </w:p>
        </w:tc>
      </w:tr>
    </w:tbl>
    <w:p w:rsidR="00CE3C57" w:rsidRPr="003A1D36" w:rsidRDefault="00CE3C57" w:rsidP="00D87760">
      <w:pPr>
        <w:spacing w:after="0" w:line="240" w:lineRule="auto"/>
        <w:jc w:val="center"/>
        <w:rPr>
          <w:rFonts w:ascii="Times New Roman" w:hAnsi="Times New Roman" w:cs="Times New Roman"/>
          <w:b/>
          <w:sz w:val="28"/>
          <w:szCs w:val="28"/>
        </w:rPr>
      </w:pPr>
      <w:bookmarkStart w:id="0" w:name="_GoBack"/>
      <w:bookmarkEnd w:id="0"/>
    </w:p>
    <w:sectPr w:rsidR="00CE3C57" w:rsidRPr="003A1D36" w:rsidSect="00CE3C57">
      <w:headerReference w:type="default" r:id="rId8"/>
      <w:footerReference w:type="default" r:id="rId9"/>
      <w:pgSz w:w="11906" w:h="16838"/>
      <w:pgMar w:top="125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99C" w:rsidRDefault="0010599C" w:rsidP="00A414DC">
      <w:pPr>
        <w:spacing w:after="0" w:line="240" w:lineRule="auto"/>
      </w:pPr>
      <w:r>
        <w:separator/>
      </w:r>
    </w:p>
  </w:endnote>
  <w:endnote w:type="continuationSeparator" w:id="0">
    <w:p w:rsidR="0010599C" w:rsidRDefault="0010599C" w:rsidP="00A4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9C" w:rsidRDefault="0010599C" w:rsidP="007C0232">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99C" w:rsidRDefault="0010599C" w:rsidP="00A414DC">
      <w:pPr>
        <w:spacing w:after="0" w:line="240" w:lineRule="auto"/>
      </w:pPr>
      <w:r>
        <w:separator/>
      </w:r>
    </w:p>
  </w:footnote>
  <w:footnote w:type="continuationSeparator" w:id="0">
    <w:p w:rsidR="0010599C" w:rsidRDefault="0010599C" w:rsidP="00A41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99C" w:rsidRDefault="0010599C" w:rsidP="00646E25">
    <w:pPr>
      <w:pStyle w:val="Encabezado"/>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6231E"/>
    <w:multiLevelType w:val="hybridMultilevel"/>
    <w:tmpl w:val="80C8D68A"/>
    <w:lvl w:ilvl="0" w:tplc="8CBC932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621BDA"/>
    <w:multiLevelType w:val="hybridMultilevel"/>
    <w:tmpl w:val="AF584CA8"/>
    <w:lvl w:ilvl="0" w:tplc="A156FC1E">
      <w:numFmt w:val="bullet"/>
      <w:lvlText w:val="-"/>
      <w:lvlJc w:val="left"/>
      <w:pPr>
        <w:ind w:left="720" w:hanging="360"/>
      </w:pPr>
      <w:rPr>
        <w:rFonts w:ascii="Calibri" w:eastAsiaTheme="minorEastAsia"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2FA364E"/>
    <w:multiLevelType w:val="hybridMultilevel"/>
    <w:tmpl w:val="F86C05CC"/>
    <w:lvl w:ilvl="0" w:tplc="0C0A0001">
      <w:start w:val="1"/>
      <w:numFmt w:val="bullet"/>
      <w:lvlText w:val=""/>
      <w:lvlJc w:val="left"/>
      <w:pPr>
        <w:ind w:left="1429"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14DC"/>
    <w:rsid w:val="000819A8"/>
    <w:rsid w:val="00094979"/>
    <w:rsid w:val="000F4F46"/>
    <w:rsid w:val="0010599C"/>
    <w:rsid w:val="00176D3B"/>
    <w:rsid w:val="001D5B0E"/>
    <w:rsid w:val="002023A0"/>
    <w:rsid w:val="00244B24"/>
    <w:rsid w:val="00257131"/>
    <w:rsid w:val="0034302C"/>
    <w:rsid w:val="00371778"/>
    <w:rsid w:val="00393E58"/>
    <w:rsid w:val="003A1D36"/>
    <w:rsid w:val="0048376A"/>
    <w:rsid w:val="00524D8E"/>
    <w:rsid w:val="005511B1"/>
    <w:rsid w:val="0058121D"/>
    <w:rsid w:val="005D1932"/>
    <w:rsid w:val="00646E25"/>
    <w:rsid w:val="00675FE9"/>
    <w:rsid w:val="00683E7D"/>
    <w:rsid w:val="0071191E"/>
    <w:rsid w:val="007C0232"/>
    <w:rsid w:val="008467D0"/>
    <w:rsid w:val="00885DC8"/>
    <w:rsid w:val="00A26136"/>
    <w:rsid w:val="00A414DC"/>
    <w:rsid w:val="00A62AF0"/>
    <w:rsid w:val="00A70E38"/>
    <w:rsid w:val="00AA1BEC"/>
    <w:rsid w:val="00B03794"/>
    <w:rsid w:val="00B47567"/>
    <w:rsid w:val="00B72F38"/>
    <w:rsid w:val="00B83EC8"/>
    <w:rsid w:val="00BB7E62"/>
    <w:rsid w:val="00BE474D"/>
    <w:rsid w:val="00C024FF"/>
    <w:rsid w:val="00C8554D"/>
    <w:rsid w:val="00CA34B2"/>
    <w:rsid w:val="00CE3C57"/>
    <w:rsid w:val="00D26C55"/>
    <w:rsid w:val="00D2740D"/>
    <w:rsid w:val="00D87760"/>
    <w:rsid w:val="00E010CE"/>
    <w:rsid w:val="00E46F5B"/>
    <w:rsid w:val="00ED5424"/>
    <w:rsid w:val="00FB11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B04DDC3"/>
  <w15:docId w15:val="{7B2F14A8-7E79-4AF9-B750-5A1E1436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E58"/>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414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4DC"/>
    <w:rPr>
      <w:rFonts w:ascii="Tahoma" w:hAnsi="Tahoma" w:cs="Tahoma"/>
      <w:sz w:val="16"/>
      <w:szCs w:val="16"/>
    </w:rPr>
  </w:style>
  <w:style w:type="paragraph" w:styleId="Encabezado">
    <w:name w:val="header"/>
    <w:basedOn w:val="Normal"/>
    <w:link w:val="EncabezadoCar"/>
    <w:uiPriority w:val="99"/>
    <w:semiHidden/>
    <w:unhideWhenUsed/>
    <w:rsid w:val="00A414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414DC"/>
  </w:style>
  <w:style w:type="paragraph" w:styleId="Piedepgina">
    <w:name w:val="footer"/>
    <w:basedOn w:val="Normal"/>
    <w:link w:val="PiedepginaCar"/>
    <w:uiPriority w:val="99"/>
    <w:semiHidden/>
    <w:unhideWhenUsed/>
    <w:rsid w:val="00A414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414DC"/>
  </w:style>
  <w:style w:type="paragraph" w:styleId="Prrafodelista">
    <w:name w:val="List Paragraph"/>
    <w:basedOn w:val="Normal"/>
    <w:uiPriority w:val="34"/>
    <w:qFormat/>
    <w:rsid w:val="000F4F46"/>
    <w:pPr>
      <w:spacing w:after="200" w:line="276" w:lineRule="auto"/>
      <w:ind w:left="720"/>
      <w:contextualSpacing/>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43153">
      <w:bodyDiv w:val="1"/>
      <w:marLeft w:val="0"/>
      <w:marRight w:val="0"/>
      <w:marTop w:val="0"/>
      <w:marBottom w:val="0"/>
      <w:divBdr>
        <w:top w:val="none" w:sz="0" w:space="0" w:color="auto"/>
        <w:left w:val="none" w:sz="0" w:space="0" w:color="auto"/>
        <w:bottom w:val="none" w:sz="0" w:space="0" w:color="auto"/>
        <w:right w:val="none" w:sz="0" w:space="0" w:color="auto"/>
      </w:divBdr>
    </w:div>
    <w:div w:id="161363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CD755-0C54-40A7-A846-27A5E215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1386</Words>
  <Characters>7626</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ejecu01</dc:creator>
  <cp:lastModifiedBy>padron01</cp:lastModifiedBy>
  <cp:revision>4</cp:revision>
  <cp:lastPrinted>2018-01-08T13:31:00Z</cp:lastPrinted>
  <dcterms:created xsi:type="dcterms:W3CDTF">2018-04-25T05:44:00Z</dcterms:created>
  <dcterms:modified xsi:type="dcterms:W3CDTF">2018-09-25T06:22:00Z</dcterms:modified>
</cp:coreProperties>
</file>